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691" w:rsidRDefault="003D3691" w:rsidP="003D3691">
      <w:pPr>
        <w:spacing w:line="36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Supplementa</w:t>
      </w:r>
      <w:bookmarkStart w:id="0" w:name="_GoBack"/>
      <w:bookmarkEnd w:id="0"/>
      <w:r>
        <w:rPr>
          <w:rFonts w:cstheme="minorHAnsi"/>
          <w:b/>
          <w:sz w:val="28"/>
        </w:rPr>
        <w:t>ry file</w:t>
      </w:r>
    </w:p>
    <w:p w:rsidR="007B7B6B" w:rsidRPr="007B7B6B" w:rsidRDefault="007B7B6B" w:rsidP="007B7B6B">
      <w:pPr>
        <w:spacing w:line="360" w:lineRule="auto"/>
        <w:rPr>
          <w:rFonts w:cstheme="minorHAnsi"/>
          <w:b/>
          <w:sz w:val="28"/>
        </w:rPr>
      </w:pPr>
      <w:r w:rsidRPr="007B7B6B">
        <w:rPr>
          <w:rFonts w:cstheme="minorHAnsi"/>
          <w:b/>
          <w:sz w:val="28"/>
        </w:rPr>
        <w:t xml:space="preserve">Title: </w:t>
      </w:r>
      <w:proofErr w:type="spellStart"/>
      <w:r w:rsidRPr="007B7B6B">
        <w:rPr>
          <w:rFonts w:cstheme="minorHAnsi"/>
          <w:b/>
          <w:sz w:val="28"/>
        </w:rPr>
        <w:t>PowerTools</w:t>
      </w:r>
      <w:proofErr w:type="spellEnd"/>
      <w:r w:rsidRPr="007B7B6B">
        <w:rPr>
          <w:rFonts w:cstheme="minorHAnsi"/>
          <w:b/>
          <w:sz w:val="28"/>
        </w:rPr>
        <w:t xml:space="preserve">: A web based user-friendly tool for future translational study design 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  <w:b/>
          <w:sz w:val="18"/>
        </w:rPr>
      </w:pPr>
      <w:r w:rsidRPr="007B7B6B">
        <w:rPr>
          <w:rFonts w:cstheme="minorHAnsi"/>
          <w:b/>
          <w:sz w:val="20"/>
        </w:rPr>
        <w:t xml:space="preserve"> 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  <w:b/>
          <w:vertAlign w:val="superscript"/>
        </w:rPr>
      </w:pPr>
      <w:r w:rsidRPr="007B7B6B">
        <w:rPr>
          <w:rFonts w:cstheme="minorHAnsi"/>
          <w:b/>
        </w:rPr>
        <w:t>Animesh Acharjee</w:t>
      </w:r>
      <w:r w:rsidRPr="007B7B6B">
        <w:rPr>
          <w:rFonts w:cstheme="minorHAnsi"/>
          <w:b/>
          <w:vertAlign w:val="superscript"/>
        </w:rPr>
        <w:t>1</w:t>
      </w:r>
      <w:proofErr w:type="gramStart"/>
      <w:r w:rsidRPr="007B7B6B">
        <w:rPr>
          <w:rFonts w:cstheme="minorHAnsi"/>
          <w:b/>
          <w:vertAlign w:val="superscript"/>
        </w:rPr>
        <w:t>,2,3</w:t>
      </w:r>
      <w:proofErr w:type="gramEnd"/>
      <w:r w:rsidRPr="007B7B6B">
        <w:rPr>
          <w:rFonts w:cstheme="minorHAnsi"/>
          <w:b/>
          <w:vertAlign w:val="superscript"/>
        </w:rPr>
        <w:t xml:space="preserve">*,# </w:t>
      </w:r>
      <w:r w:rsidRPr="007B7B6B">
        <w:rPr>
          <w:rFonts w:cstheme="minorHAnsi"/>
          <w:b/>
        </w:rPr>
        <w:t>, Joseph Larkman</w:t>
      </w:r>
      <w:r w:rsidRPr="007B7B6B">
        <w:rPr>
          <w:rFonts w:cstheme="minorHAnsi"/>
          <w:b/>
          <w:vertAlign w:val="superscript"/>
        </w:rPr>
        <w:t>1,2,*</w:t>
      </w:r>
      <w:r w:rsidRPr="007B7B6B">
        <w:rPr>
          <w:rFonts w:cstheme="minorHAnsi"/>
          <w:b/>
        </w:rPr>
        <w:t>, Victor Roth Cardoso</w:t>
      </w:r>
      <w:r w:rsidRPr="007B7B6B">
        <w:rPr>
          <w:rFonts w:cstheme="minorHAnsi"/>
          <w:b/>
          <w:vertAlign w:val="superscript"/>
        </w:rPr>
        <w:t>1,2</w:t>
      </w:r>
      <w:r w:rsidRPr="007B7B6B">
        <w:rPr>
          <w:rFonts w:cstheme="minorHAnsi"/>
          <w:b/>
        </w:rPr>
        <w:t>, Georgios V. Gkoutos</w:t>
      </w:r>
      <w:r w:rsidRPr="007B7B6B">
        <w:rPr>
          <w:rFonts w:cstheme="minorHAnsi"/>
          <w:b/>
          <w:vertAlign w:val="superscript"/>
        </w:rPr>
        <w:t>1-6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  <w:b/>
          <w:sz w:val="24"/>
        </w:rPr>
      </w:pP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r w:rsidRPr="007B7B6B">
        <w:rPr>
          <w:rFonts w:cstheme="minorHAnsi"/>
          <w:vertAlign w:val="superscript"/>
        </w:rPr>
        <w:t>1</w:t>
      </w:r>
      <w:r w:rsidRPr="007B7B6B">
        <w:rPr>
          <w:rFonts w:cstheme="minorHAnsi"/>
        </w:rPr>
        <w:t>Centre for Computational Biology, Institute of Cancer and Genomic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r w:rsidRPr="007B7B6B">
        <w:rPr>
          <w:rFonts w:cstheme="minorHAnsi"/>
        </w:rPr>
        <w:t xml:space="preserve"> Sciences, College of Medical and Dental Sciences, University of Birmingham, B15 2TT, UK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bookmarkStart w:id="1" w:name="_heading=h.gjdgxs" w:colFirst="0" w:colLast="0"/>
      <w:bookmarkEnd w:id="1"/>
      <w:r w:rsidRPr="007B7B6B">
        <w:rPr>
          <w:rFonts w:cstheme="minorHAnsi"/>
          <w:vertAlign w:val="superscript"/>
        </w:rPr>
        <w:t>2</w:t>
      </w:r>
      <w:r w:rsidRPr="007B7B6B">
        <w:rPr>
          <w:rFonts w:cstheme="minorHAnsi"/>
        </w:rPr>
        <w:t>Institute of Translational Medicine, University Hospitals Birmingham NHS, Foundation Trust, B15 2TT, UK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r w:rsidRPr="007B7B6B">
        <w:rPr>
          <w:rFonts w:cstheme="minorHAnsi"/>
          <w:vertAlign w:val="superscript"/>
        </w:rPr>
        <w:t>3</w:t>
      </w:r>
      <w:r w:rsidRPr="007B7B6B">
        <w:rPr>
          <w:rFonts w:cstheme="minorHAnsi"/>
        </w:rPr>
        <w:t>NIHR Surgical Reconstruction and Microbiology Research Centre, University Hospital Birmingham, Birmingham B15 2WB, UK.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r w:rsidRPr="007B7B6B">
        <w:rPr>
          <w:rFonts w:cstheme="minorHAnsi"/>
          <w:vertAlign w:val="superscript"/>
        </w:rPr>
        <w:t>4</w:t>
      </w:r>
      <w:r w:rsidRPr="007B7B6B">
        <w:rPr>
          <w:rFonts w:cstheme="minorHAnsi"/>
        </w:rPr>
        <w:t>MRC Health Data Research UK (HDR UK)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r w:rsidRPr="007B7B6B">
        <w:rPr>
          <w:rFonts w:cstheme="minorHAnsi"/>
          <w:vertAlign w:val="superscript"/>
        </w:rPr>
        <w:t>5</w:t>
      </w:r>
      <w:r w:rsidRPr="007B7B6B">
        <w:rPr>
          <w:rFonts w:cstheme="minorHAnsi"/>
        </w:rPr>
        <w:t>NIHR Experimental Cancer Medicine Centre, B15 2TT, Birmingham, UK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</w:rPr>
      </w:pPr>
      <w:r w:rsidRPr="007B7B6B">
        <w:rPr>
          <w:rFonts w:cstheme="minorHAnsi"/>
          <w:vertAlign w:val="superscript"/>
        </w:rPr>
        <w:t>6</w:t>
      </w:r>
      <w:r w:rsidRPr="007B7B6B">
        <w:rPr>
          <w:rFonts w:cstheme="minorHAnsi"/>
        </w:rPr>
        <w:t>NIHR Biomedical Research Centre, University Hospital Birmingham, Birmingham, B15 2TT, UK.</w:t>
      </w:r>
    </w:p>
    <w:p w:rsidR="007B7B6B" w:rsidRPr="007B7B6B" w:rsidRDefault="007B7B6B" w:rsidP="007B7B6B">
      <w:pPr>
        <w:spacing w:line="360" w:lineRule="auto"/>
        <w:jc w:val="both"/>
        <w:rPr>
          <w:rFonts w:cstheme="minorHAnsi"/>
          <w:b/>
          <w:sz w:val="24"/>
        </w:rPr>
      </w:pPr>
    </w:p>
    <w:p w:rsidR="007B7B6B" w:rsidRPr="008C1E7A" w:rsidRDefault="007B7B6B" w:rsidP="007B7B6B">
      <w:pPr>
        <w:spacing w:line="360" w:lineRule="auto"/>
        <w:jc w:val="both"/>
        <w:rPr>
          <w:rFonts w:cstheme="minorHAnsi"/>
          <w:b/>
        </w:rPr>
      </w:pPr>
      <w:r w:rsidRPr="008C1E7A">
        <w:rPr>
          <w:rFonts w:cstheme="minorHAnsi"/>
          <w:b/>
        </w:rPr>
        <w:t xml:space="preserve">* Equal Contribution </w:t>
      </w:r>
    </w:p>
    <w:p w:rsidR="007B7B6B" w:rsidRPr="008C1E7A" w:rsidRDefault="007B7B6B" w:rsidP="007B7B6B">
      <w:pPr>
        <w:spacing w:line="360" w:lineRule="auto"/>
        <w:jc w:val="both"/>
        <w:rPr>
          <w:rFonts w:cstheme="minorHAnsi"/>
          <w:b/>
        </w:rPr>
      </w:pPr>
      <w:r w:rsidRPr="008C1E7A">
        <w:rPr>
          <w:rFonts w:cstheme="minorHAnsi"/>
          <w:b/>
        </w:rPr>
        <w:t xml:space="preserve"># Corresponding Author. </w:t>
      </w:r>
    </w:p>
    <w:p w:rsidR="007B7B6B" w:rsidRPr="008C1E7A" w:rsidRDefault="007B7B6B" w:rsidP="007B7B6B">
      <w:pPr>
        <w:spacing w:line="360" w:lineRule="auto"/>
        <w:jc w:val="both"/>
        <w:rPr>
          <w:rFonts w:cstheme="minorHAnsi"/>
          <w:b/>
        </w:rPr>
      </w:pPr>
      <w:r w:rsidRPr="008C1E7A">
        <w:rPr>
          <w:rFonts w:cstheme="minorHAnsi"/>
          <w:b/>
        </w:rPr>
        <w:t xml:space="preserve">Animesh Acharjee </w:t>
      </w:r>
    </w:p>
    <w:p w:rsidR="008C1E7A" w:rsidRPr="008C1E7A" w:rsidRDefault="008C1E7A" w:rsidP="007B7B6B">
      <w:pPr>
        <w:spacing w:line="360" w:lineRule="auto"/>
        <w:jc w:val="both"/>
        <w:rPr>
          <w:rFonts w:cstheme="minorHAnsi"/>
          <w:b/>
        </w:rPr>
      </w:pPr>
      <w:proofErr w:type="spellStart"/>
      <w:r w:rsidRPr="008C1E7A">
        <w:rPr>
          <w:rFonts w:cstheme="minorHAnsi"/>
          <w:b/>
        </w:rPr>
        <w:t>Orcid</w:t>
      </w:r>
      <w:proofErr w:type="spellEnd"/>
      <w:r w:rsidRPr="008C1E7A">
        <w:rPr>
          <w:rFonts w:cstheme="minorHAnsi"/>
          <w:b/>
        </w:rPr>
        <w:t xml:space="preserve"> ID: </w:t>
      </w:r>
      <w:r w:rsidRPr="008C1E7A">
        <w:rPr>
          <w:rFonts w:cstheme="minorHAnsi"/>
          <w:shd w:val="clear" w:color="auto" w:fill="FFFFFF"/>
        </w:rPr>
        <w:t>0000-0003-2735-7010</w:t>
      </w:r>
    </w:p>
    <w:p w:rsidR="007B7B6B" w:rsidRPr="008C1E7A" w:rsidRDefault="007B7B6B" w:rsidP="007B7B6B">
      <w:pPr>
        <w:spacing w:line="360" w:lineRule="auto"/>
        <w:jc w:val="both"/>
        <w:rPr>
          <w:rFonts w:cstheme="minorHAnsi"/>
          <w:b/>
        </w:rPr>
      </w:pPr>
      <w:r w:rsidRPr="008C1E7A">
        <w:rPr>
          <w:rFonts w:cstheme="minorHAnsi"/>
          <w:b/>
        </w:rPr>
        <w:t xml:space="preserve">Tel.: +44 (0)1213718135; </w:t>
      </w:r>
    </w:p>
    <w:p w:rsidR="007B7B6B" w:rsidRPr="008C1E7A" w:rsidRDefault="007B7B6B" w:rsidP="007B7B6B">
      <w:pPr>
        <w:spacing w:line="360" w:lineRule="auto"/>
        <w:jc w:val="both"/>
        <w:rPr>
          <w:rFonts w:cstheme="minorHAnsi"/>
          <w:b/>
        </w:rPr>
      </w:pPr>
      <w:r w:rsidRPr="008C1E7A">
        <w:rPr>
          <w:rFonts w:cstheme="minorHAnsi"/>
          <w:b/>
        </w:rPr>
        <w:t xml:space="preserve"> E-mail: a.acharjee@bham.ac.uk</w:t>
      </w:r>
    </w:p>
    <w:p w:rsidR="007B7B6B" w:rsidRPr="00F81E8C" w:rsidRDefault="007B7B6B" w:rsidP="007B7B6B">
      <w:pPr>
        <w:spacing w:line="360" w:lineRule="auto"/>
        <w:jc w:val="both"/>
        <w:rPr>
          <w:rFonts w:cstheme="minorHAnsi"/>
          <w:b/>
          <w:sz w:val="28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E766BE" w:rsidRPr="00E766BE" w:rsidRDefault="00E766BE">
      <w:pPr>
        <w:rPr>
          <w:rFonts w:cstheme="minorHAnsi"/>
          <w:b/>
          <w:color w:val="000000"/>
        </w:rPr>
      </w:pPr>
      <w:r w:rsidRPr="00E766BE">
        <w:rPr>
          <w:rFonts w:cstheme="minorHAnsi"/>
          <w:b/>
          <w:color w:val="000000"/>
        </w:rPr>
        <w:t>Supplementary Material 1 –</w:t>
      </w:r>
      <w:r>
        <w:rPr>
          <w:rFonts w:cstheme="minorHAnsi"/>
          <w:b/>
          <w:color w:val="000000"/>
        </w:rPr>
        <w:t xml:space="preserve"> </w:t>
      </w:r>
      <w:proofErr w:type="spellStart"/>
      <w:r w:rsidRPr="00E766BE">
        <w:rPr>
          <w:rFonts w:cstheme="minorHAnsi"/>
          <w:b/>
          <w:color w:val="000000"/>
        </w:rPr>
        <w:t>PowerTools</w:t>
      </w:r>
      <w:proofErr w:type="spellEnd"/>
      <w:r>
        <w:rPr>
          <w:rFonts w:cstheme="minorHAnsi"/>
          <w:b/>
          <w:color w:val="000000"/>
        </w:rPr>
        <w:t xml:space="preserve"> user manual</w:t>
      </w:r>
    </w:p>
    <w:p w:rsidR="00E766BE" w:rsidRDefault="00E766BE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We will execute a case scenario to demonstrate </w:t>
      </w:r>
      <w:proofErr w:type="spellStart"/>
      <w:r>
        <w:rPr>
          <w:rFonts w:cstheme="minorHAnsi"/>
          <w:color w:val="000000"/>
        </w:rPr>
        <w:t>PowerTools</w:t>
      </w:r>
      <w:proofErr w:type="spellEnd"/>
      <w:r>
        <w:rPr>
          <w:rFonts w:cstheme="minorHAnsi"/>
          <w:color w:val="000000"/>
        </w:rPr>
        <w:t xml:space="preserve"> web interface </w:t>
      </w:r>
      <w:r>
        <w:rPr>
          <w:rFonts w:cstheme="minorHAnsi"/>
          <w:color w:val="000000" w:themeColor="text1"/>
        </w:rPr>
        <w:fldChar w:fldCharType="begin"/>
      </w:r>
      <w:r>
        <w:rPr>
          <w:rFonts w:cstheme="minorHAnsi"/>
          <w:color w:val="000000" w:themeColor="text1"/>
        </w:rPr>
        <w:instrText xml:space="preserve"> ADDIN EN.CITE &lt;EndNote&gt;&lt;Cite&gt;&lt;Author&gt;Larkman&lt;/Author&gt;&lt;Year&gt;2019&lt;/Year&gt;&lt;RecNum&gt;22&lt;/RecNum&gt;&lt;DisplayText&gt;[1]&lt;/DisplayText&gt;&lt;record&gt;&lt;rec-number&gt;22&lt;/rec-number&gt;&lt;foreign-keys&gt;&lt;key app="EN" db-id="a0xdzvwz1t29tieevw75xzsr02pefsxdvdvv" timestamp="1580412269"&gt;22&lt;/key&gt;&lt;/foreign-keys&gt;&lt;ref-type name="Web Page"&gt;12&lt;/ref-type&gt;&lt;contributors&gt;&lt;authors&gt;&lt;author&gt;Joseph Larkman&lt;/author&gt;&lt;/authors&gt;&lt;/contributors&gt;&lt;titles&gt;&lt;title&gt;PowerTools&lt;/title&gt;&lt;/titles&gt;&lt;number&gt;30 January 2020&lt;/number&gt;&lt;dates&gt;&lt;year&gt;2019&lt;/year&gt;&lt;/dates&gt;&lt;urls&gt;&lt;related-urls&gt;&lt;url&gt;https://joelarkman.shinyapps.io/PowerTools/&lt;/url&gt;&lt;/related-urls&gt;&lt;/urls&gt;&lt;/record&gt;&lt;/Cite&gt;&lt;/EndNote&gt;</w:instrText>
      </w:r>
      <w:r>
        <w:rPr>
          <w:rFonts w:cstheme="minorHAnsi"/>
          <w:color w:val="000000" w:themeColor="text1"/>
        </w:rPr>
        <w:fldChar w:fldCharType="separate"/>
      </w:r>
      <w:r>
        <w:rPr>
          <w:rFonts w:cstheme="minorHAnsi"/>
          <w:noProof/>
          <w:color w:val="000000" w:themeColor="text1"/>
        </w:rPr>
        <w:t>[1]</w:t>
      </w:r>
      <w:r>
        <w:rPr>
          <w:rFonts w:cstheme="minorHAnsi"/>
          <w:color w:val="000000" w:themeColor="text1"/>
        </w:rPr>
        <w:fldChar w:fldCharType="end"/>
      </w:r>
      <w:r>
        <w:rPr>
          <w:rFonts w:cstheme="minorHAnsi"/>
          <w:color w:val="000000"/>
        </w:rPr>
        <w:t xml:space="preserve">. The dataset selected is from Acharjee et al., 2017 </w:t>
      </w:r>
      <w:r>
        <w:rPr>
          <w:rFonts w:cstheme="minorHAnsi"/>
          <w:color w:val="000000"/>
        </w:rPr>
        <w:fldChar w:fldCharType="begin"/>
      </w:r>
      <w:r>
        <w:rPr>
          <w:rFonts w:cstheme="minorHAnsi"/>
          <w:color w:val="000000"/>
        </w:rPr>
        <w:instrText xml:space="preserve"> ADDIN EN.CITE &lt;EndNote&gt;&lt;Cite&gt;&lt;Author&gt;Acharjee&lt;/Author&gt;&lt;Year&gt;2017&lt;/Year&gt;&lt;RecNum&gt;20&lt;/RecNum&gt;&lt;DisplayText&gt;[2]&lt;/DisplayText&gt;&lt;record&gt;&lt;rec-number&gt;20&lt;/rec-number&gt;&lt;foreign-keys&gt;&lt;key app="EN" db-id="a0xdzvwz1t29tieevw75xzsr02pefsxdvdvv" timestamp="1580410660"&gt;20&lt;/key&gt;&lt;/foreign-keys&gt;&lt;ref-type name="Journal Article"&gt;17&lt;/ref-type&gt;&lt;contributors&gt;&lt;authors&gt;&lt;author&gt;Acharjee, Animesh&lt;/author&gt;&lt;author&gt;Prentice, Philippa&lt;/author&gt;&lt;author&gt;Acerini, Carlo&lt;/author&gt;&lt;author&gt;Smith, James&lt;/author&gt;&lt;author&gt;Hughes, Ieuan A.&lt;/author&gt;&lt;author&gt;Ong, Ken&lt;/author&gt;&lt;author&gt;Griffin, Julian L.&lt;/author&gt;&lt;author&gt;Dunger, David&lt;/author&gt;&lt;author&gt;Koulman, Albert&lt;/author&gt;&lt;/authors&gt;&lt;/contributors&gt;&lt;titles&gt;&lt;title&gt;The translation of lipid profiles to nutritional biomarkers in the study of infant metabolism&lt;/title&gt;&lt;secondary-title&gt;Metabolomics&lt;/secondary-title&gt;&lt;/titles&gt;&lt;periodical&gt;&lt;full-title&gt;Metabolomics&lt;/full-title&gt;&lt;/periodical&gt;&lt;pages&gt;25&lt;/pages&gt;&lt;volume&gt;13&lt;/volume&gt;&lt;number&gt;3&lt;/number&gt;&lt;dates&gt;&lt;year&gt;2017&lt;/year&gt;&lt;pub-dates&gt;&lt;date&gt;January 28&lt;/date&gt;&lt;/pub-dates&gt;&lt;/dates&gt;&lt;isbn&gt;1573-3890&lt;/isbn&gt;&lt;label&gt;Acharjee2017&lt;/label&gt;&lt;work-type&gt;journal article&lt;/work-type&gt;&lt;urls&gt;&lt;related-urls&gt;&lt;url&gt;https://doi.org/10.1007/s11306-017-1166-2&lt;/url&gt;&lt;/related-urls&gt;&lt;/urls&gt;&lt;electronic-resource-num&gt;10.1007/s11306-017-1166-2&lt;/electronic-resource-num&gt;&lt;/record&gt;&lt;/Cite&gt;&lt;/EndNote&gt;</w:instrText>
      </w:r>
      <w:r>
        <w:rPr>
          <w:rFonts w:cstheme="minorHAnsi"/>
          <w:color w:val="000000"/>
        </w:rPr>
        <w:fldChar w:fldCharType="separate"/>
      </w:r>
      <w:r>
        <w:rPr>
          <w:rFonts w:cstheme="minorHAnsi"/>
          <w:noProof/>
          <w:color w:val="000000"/>
        </w:rPr>
        <w:t>[2]</w:t>
      </w:r>
      <w:r>
        <w:rPr>
          <w:rFonts w:cstheme="minorHAnsi"/>
          <w:color w:val="000000"/>
        </w:rPr>
        <w:fldChar w:fldCharType="end"/>
      </w:r>
      <w:r>
        <w:rPr>
          <w:rFonts w:cstheme="minorHAnsi"/>
          <w:color w:val="000000"/>
        </w:rPr>
        <w:t xml:space="preserve">. This manual is separated in two parts: data handling and </w:t>
      </w:r>
      <w:proofErr w:type="spellStart"/>
      <w:r w:rsidR="00AC5A3A">
        <w:rPr>
          <w:rFonts w:cstheme="minorHAnsi"/>
          <w:color w:val="000000"/>
        </w:rPr>
        <w:t>PowerTools</w:t>
      </w:r>
      <w:proofErr w:type="spellEnd"/>
      <w:r>
        <w:rPr>
          <w:rFonts w:cstheme="minorHAnsi"/>
          <w:color w:val="000000"/>
        </w:rPr>
        <w:t xml:space="preserve"> exploration.</w:t>
      </w:r>
    </w:p>
    <w:p w:rsidR="00E766BE" w:rsidRPr="00C159B9" w:rsidRDefault="00E766BE">
      <w:pPr>
        <w:rPr>
          <w:rFonts w:cstheme="minorHAnsi"/>
          <w:b/>
          <w:color w:val="000000"/>
        </w:rPr>
      </w:pPr>
      <w:r w:rsidRPr="00C159B9">
        <w:rPr>
          <w:rFonts w:cstheme="minorHAnsi"/>
          <w:b/>
          <w:color w:val="000000"/>
        </w:rPr>
        <w:t>Data handling</w:t>
      </w:r>
    </w:p>
    <w:p w:rsidR="00E766BE" w:rsidRDefault="00AC5A3A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>Before start make sure you have a copy of the dataset. We load the dataset</w:t>
      </w:r>
      <w:r w:rsidR="00E766BE">
        <w:rPr>
          <w:rFonts w:cstheme="minorHAnsi"/>
          <w:color w:val="000000"/>
        </w:rPr>
        <w:t xml:space="preserve"> into </w:t>
      </w:r>
      <w:r w:rsidR="00C159B9">
        <w:rPr>
          <w:rFonts w:cstheme="minorHAnsi"/>
          <w:color w:val="000000"/>
        </w:rPr>
        <w:t xml:space="preserve">Microsoft </w:t>
      </w:r>
      <w:r w:rsidR="00E766BE">
        <w:rPr>
          <w:rFonts w:cstheme="minorHAnsi"/>
          <w:color w:val="000000"/>
        </w:rPr>
        <w:t xml:space="preserve">Excel </w:t>
      </w:r>
      <w:r w:rsidR="00D0027A">
        <w:rPr>
          <w:rFonts w:cstheme="minorHAnsi"/>
          <w:color w:val="000000"/>
        </w:rPr>
        <w:fldChar w:fldCharType="begin"/>
      </w:r>
      <w:r w:rsidR="00D0027A">
        <w:rPr>
          <w:rFonts w:cstheme="minorHAnsi"/>
          <w:color w:val="000000"/>
        </w:rPr>
        <w:instrText xml:space="preserve"> ADDIN EN.CITE &lt;EndNote&gt;&lt;Cite&gt;&lt;Author&gt;Microsoft&lt;/Author&gt;&lt;Year&gt;2016&lt;/Year&gt;&lt;RecNum&gt;25&lt;/RecNum&gt;&lt;DisplayText&gt;[3]&lt;/DisplayText&gt;&lt;record&gt;&lt;rec-number&gt;25&lt;/rec-number&gt;&lt;foreign-keys&gt;&lt;key app="EN" db-id="a0xdzvwz1t29tieevw75xzsr02pefsxdvdvv" timestamp="1580476412"&gt;25&lt;/key&gt;&lt;/foreign-keys&gt;&lt;ref-type name="Computer Program"&gt;9&lt;/ref-type&gt;&lt;contributors&gt;&lt;authors&gt;&lt;author&gt;Microsoft&lt;/author&gt;&lt;/authors&gt;&lt;/contributors&gt;&lt;titles&gt;&lt;title&gt;Excel&lt;/title&gt;&lt;/titles&gt;&lt;dates&gt;&lt;year&gt;2016&lt;/year&gt;&lt;/dates&gt;&lt;pub-location&gt;California&lt;/pub-location&gt;&lt;urls&gt;&lt;/urls&gt;&lt;/record&gt;&lt;/Cite&gt;&lt;/EndNote&gt;</w:instrText>
      </w:r>
      <w:r w:rsidR="00D0027A">
        <w:rPr>
          <w:rFonts w:cstheme="minorHAnsi"/>
          <w:color w:val="000000"/>
        </w:rPr>
        <w:fldChar w:fldCharType="separate"/>
      </w:r>
      <w:r w:rsidR="00D0027A">
        <w:rPr>
          <w:rFonts w:cstheme="minorHAnsi"/>
          <w:noProof/>
          <w:color w:val="000000"/>
        </w:rPr>
        <w:t>[3]</w:t>
      </w:r>
      <w:r w:rsidR="00D0027A">
        <w:rPr>
          <w:rFonts w:cstheme="minorHAnsi"/>
          <w:color w:val="000000"/>
        </w:rPr>
        <w:fldChar w:fldCharType="end"/>
      </w:r>
      <w:r w:rsidR="00C159B9">
        <w:rPr>
          <w:rFonts w:cstheme="minorHAnsi"/>
          <w:color w:val="000000"/>
        </w:rPr>
        <w:t xml:space="preserve"> </w:t>
      </w:r>
      <w:r w:rsidR="00E766BE">
        <w:rPr>
          <w:rFonts w:cstheme="minorHAnsi"/>
          <w:color w:val="000000"/>
        </w:rPr>
        <w:t xml:space="preserve">as shown in </w:t>
      </w:r>
      <w:r w:rsidR="00E766BE">
        <w:rPr>
          <w:rFonts w:cstheme="minorHAnsi"/>
          <w:color w:val="000000"/>
        </w:rPr>
        <w:fldChar w:fldCharType="begin"/>
      </w:r>
      <w:r w:rsidR="00E766BE">
        <w:rPr>
          <w:rFonts w:cstheme="minorHAnsi"/>
          <w:color w:val="000000"/>
        </w:rPr>
        <w:instrText xml:space="preserve"> REF _Ref31367765 \h </w:instrText>
      </w:r>
      <w:r w:rsidR="00E766BE">
        <w:rPr>
          <w:rFonts w:cstheme="minorHAnsi"/>
          <w:color w:val="000000"/>
        </w:rPr>
      </w:r>
      <w:r w:rsidR="00E766BE">
        <w:rPr>
          <w:rFonts w:cstheme="minorHAnsi"/>
          <w:color w:val="000000"/>
        </w:rPr>
        <w:fldChar w:fldCharType="separate"/>
      </w:r>
      <w:r w:rsidR="00E766BE">
        <w:t xml:space="preserve">Figure </w:t>
      </w:r>
      <w:r w:rsidR="00E766BE">
        <w:rPr>
          <w:noProof/>
        </w:rPr>
        <w:t>1</w:t>
      </w:r>
      <w:r w:rsidR="00E766BE">
        <w:rPr>
          <w:rFonts w:cstheme="minorHAnsi"/>
          <w:color w:val="000000"/>
        </w:rPr>
        <w:fldChar w:fldCharType="end"/>
      </w:r>
      <w:r w:rsidR="00E766BE">
        <w:rPr>
          <w:rFonts w:cstheme="minorHAnsi"/>
          <w:color w:val="000000"/>
        </w:rPr>
        <w:t>. There are many columns indicating different lipid profiles and a class for each data point indicating the type of nutrition the infant had</w:t>
      </w:r>
      <w:r w:rsidR="00C159B9">
        <w:rPr>
          <w:rFonts w:cstheme="minorHAnsi"/>
          <w:color w:val="000000"/>
        </w:rPr>
        <w:t xml:space="preserve"> – </w:t>
      </w:r>
      <w:r w:rsidR="00C159B9" w:rsidRPr="00C159B9">
        <w:rPr>
          <w:rFonts w:cstheme="minorHAnsi"/>
          <w:i/>
          <w:color w:val="000000"/>
        </w:rPr>
        <w:t>Formula</w:t>
      </w:r>
      <w:r w:rsidR="00C159B9">
        <w:rPr>
          <w:rFonts w:cstheme="minorHAnsi"/>
          <w:color w:val="000000"/>
        </w:rPr>
        <w:t xml:space="preserve"> for feeding exclusively with formula, </w:t>
      </w:r>
      <w:r w:rsidR="00C159B9" w:rsidRPr="00C159B9">
        <w:rPr>
          <w:rFonts w:cstheme="minorHAnsi"/>
          <w:i/>
          <w:color w:val="000000"/>
        </w:rPr>
        <w:t>HM</w:t>
      </w:r>
      <w:r w:rsidR="00C159B9">
        <w:rPr>
          <w:rFonts w:cstheme="minorHAnsi"/>
          <w:color w:val="000000"/>
        </w:rPr>
        <w:t xml:space="preserve"> indicates exclusively breastfed and </w:t>
      </w:r>
      <w:r w:rsidR="00C159B9">
        <w:rPr>
          <w:rFonts w:cstheme="minorHAnsi"/>
          <w:i/>
          <w:color w:val="000000"/>
        </w:rPr>
        <w:t xml:space="preserve">HM &amp; </w:t>
      </w:r>
      <w:proofErr w:type="spellStart"/>
      <w:r w:rsidR="00C159B9">
        <w:rPr>
          <w:rFonts w:cstheme="minorHAnsi"/>
          <w:i/>
          <w:color w:val="000000"/>
        </w:rPr>
        <w:t>formul</w:t>
      </w:r>
      <w:proofErr w:type="spellEnd"/>
      <w:r w:rsidR="00C159B9">
        <w:rPr>
          <w:rFonts w:cstheme="minorHAnsi"/>
          <w:color w:val="000000"/>
        </w:rPr>
        <w:t xml:space="preserve"> indicates mix-fed</w:t>
      </w:r>
      <w:r w:rsidR="00E766BE">
        <w:rPr>
          <w:rFonts w:cstheme="minorHAnsi"/>
          <w:color w:val="000000"/>
        </w:rPr>
        <w:t>.</w:t>
      </w:r>
      <w:r w:rsidR="00C159B9">
        <w:rPr>
          <w:rFonts w:cstheme="minorHAnsi"/>
          <w:color w:val="000000"/>
        </w:rPr>
        <w:t xml:space="preserve"> The number of samples with </w:t>
      </w:r>
      <w:r w:rsidR="00C159B9" w:rsidRPr="00C159B9">
        <w:rPr>
          <w:rFonts w:cstheme="minorHAnsi"/>
          <w:i/>
          <w:color w:val="000000"/>
        </w:rPr>
        <w:t>Formula</w:t>
      </w:r>
      <w:r w:rsidR="00C159B9">
        <w:rPr>
          <w:rFonts w:cstheme="minorHAnsi"/>
          <w:color w:val="000000"/>
        </w:rPr>
        <w:t xml:space="preserve">, </w:t>
      </w:r>
      <w:r w:rsidR="00C159B9" w:rsidRPr="00C159B9">
        <w:rPr>
          <w:rFonts w:cstheme="minorHAnsi"/>
          <w:i/>
          <w:color w:val="000000"/>
        </w:rPr>
        <w:t>HM</w:t>
      </w:r>
      <w:r w:rsidR="00C159B9">
        <w:rPr>
          <w:rFonts w:cstheme="minorHAnsi"/>
          <w:color w:val="000000"/>
        </w:rPr>
        <w:t xml:space="preserve"> and </w:t>
      </w:r>
      <w:r w:rsidR="00C159B9" w:rsidRPr="00C159B9">
        <w:rPr>
          <w:rFonts w:cstheme="minorHAnsi"/>
          <w:i/>
          <w:color w:val="000000"/>
        </w:rPr>
        <w:t xml:space="preserve">HM &amp; </w:t>
      </w:r>
      <w:proofErr w:type="spellStart"/>
      <w:r w:rsidR="00C159B9" w:rsidRPr="00C159B9">
        <w:rPr>
          <w:rFonts w:cstheme="minorHAnsi"/>
          <w:i/>
          <w:color w:val="000000"/>
        </w:rPr>
        <w:t>formul</w:t>
      </w:r>
      <w:proofErr w:type="spellEnd"/>
      <w:r w:rsidR="00C159B9">
        <w:rPr>
          <w:rFonts w:cstheme="minorHAnsi"/>
          <w:color w:val="000000"/>
        </w:rPr>
        <w:t xml:space="preserve"> nutrition are 87, 85 and 67 respectively.</w:t>
      </w:r>
    </w:p>
    <w:p w:rsidR="00E766BE" w:rsidRDefault="00E766BE" w:rsidP="00E766BE">
      <w:pPr>
        <w:keepNext/>
      </w:pPr>
      <w:r w:rsidRPr="00E766BE">
        <w:rPr>
          <w:rFonts w:cstheme="minorHAnsi"/>
          <w:noProof/>
          <w:color w:val="000000"/>
          <w:lang w:eastAsia="en-GB"/>
        </w:rPr>
        <w:drawing>
          <wp:inline distT="0" distB="0" distL="0" distR="0">
            <wp:extent cx="5731510" cy="3085740"/>
            <wp:effectExtent l="0" t="0" r="2540" b="635"/>
            <wp:docPr id="1" name="Picture 1" descr="C:\Users\vroth\Desktop\20200131_PowerTools_manual\1_da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oth\Desktop\20200131_PowerTools_manual\1_dat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8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6BE" w:rsidRDefault="00E766BE" w:rsidP="00E766BE">
      <w:pPr>
        <w:pStyle w:val="Caption"/>
        <w:rPr>
          <w:rFonts w:cstheme="minorHAnsi"/>
          <w:color w:val="000000"/>
        </w:rPr>
      </w:pPr>
      <w:bookmarkStart w:id="2" w:name="_Ref31367765"/>
      <w:r>
        <w:t xml:space="preserve">Figure </w:t>
      </w:r>
      <w:r w:rsidR="003D3691">
        <w:fldChar w:fldCharType="begin"/>
      </w:r>
      <w:r w:rsidR="003D3691">
        <w:instrText xml:space="preserve"> SEQ Figure \* ARABIC </w:instrText>
      </w:r>
      <w:r w:rsidR="003D3691">
        <w:fldChar w:fldCharType="separate"/>
      </w:r>
      <w:r w:rsidR="00DC7D12">
        <w:rPr>
          <w:noProof/>
        </w:rPr>
        <w:t>1</w:t>
      </w:r>
      <w:r w:rsidR="003D3691">
        <w:rPr>
          <w:noProof/>
        </w:rPr>
        <w:fldChar w:fldCharType="end"/>
      </w:r>
      <w:bookmarkEnd w:id="2"/>
      <w:r>
        <w:t xml:space="preserve">: Loaded </w:t>
      </w:r>
      <w:proofErr w:type="spellStart"/>
      <w:r>
        <w:t>Archarjee</w:t>
      </w:r>
      <w:proofErr w:type="spellEnd"/>
      <w:r>
        <w:t xml:space="preserve"> et al., 2017 dataset</w:t>
      </w:r>
      <w:r>
        <w:rPr>
          <w:noProof/>
        </w:rPr>
        <w:t>.</w:t>
      </w:r>
    </w:p>
    <w:p w:rsidR="00E766BE" w:rsidRDefault="00C159B9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We want to estimate the power when doing a classification between </w:t>
      </w:r>
      <w:r w:rsidRPr="00C159B9">
        <w:rPr>
          <w:rFonts w:cstheme="minorHAnsi"/>
          <w:i/>
          <w:color w:val="000000"/>
        </w:rPr>
        <w:t>Formula</w:t>
      </w:r>
      <w:r>
        <w:rPr>
          <w:rFonts w:cstheme="minorHAnsi"/>
          <w:color w:val="000000"/>
        </w:rPr>
        <w:t xml:space="preserve"> and </w:t>
      </w:r>
      <w:r w:rsidRPr="00C159B9">
        <w:rPr>
          <w:rFonts w:cstheme="minorHAnsi"/>
          <w:i/>
          <w:color w:val="000000"/>
        </w:rPr>
        <w:t>HM</w:t>
      </w:r>
      <w:r>
        <w:rPr>
          <w:rFonts w:cstheme="minorHAnsi"/>
          <w:color w:val="000000"/>
        </w:rPr>
        <w:t xml:space="preserve">. In order to select the data to our two-class problem, </w:t>
      </w:r>
      <w:r w:rsidR="00D0027A">
        <w:rPr>
          <w:rFonts w:cstheme="minorHAnsi"/>
          <w:color w:val="000000"/>
        </w:rPr>
        <w:t xml:space="preserve">we </w:t>
      </w:r>
      <w:r w:rsidR="00955027">
        <w:rPr>
          <w:rFonts w:cstheme="minorHAnsi"/>
          <w:color w:val="000000"/>
        </w:rPr>
        <w:t>delete</w:t>
      </w:r>
      <w:r>
        <w:rPr>
          <w:rFonts w:cstheme="minorHAnsi"/>
          <w:color w:val="000000"/>
        </w:rPr>
        <w:t xml:space="preserve"> the </w:t>
      </w:r>
      <w:r>
        <w:rPr>
          <w:rFonts w:cstheme="minorHAnsi"/>
          <w:i/>
          <w:color w:val="000000"/>
        </w:rPr>
        <w:t xml:space="preserve">HM &amp; </w:t>
      </w:r>
      <w:proofErr w:type="spellStart"/>
      <w:r>
        <w:rPr>
          <w:rFonts w:cstheme="minorHAnsi"/>
          <w:i/>
          <w:color w:val="000000"/>
        </w:rPr>
        <w:t>formul</w:t>
      </w:r>
      <w:proofErr w:type="spellEnd"/>
      <w:r>
        <w:rPr>
          <w:rFonts w:cstheme="minorHAnsi"/>
          <w:color w:val="000000"/>
        </w:rPr>
        <w:t xml:space="preserve"> </w:t>
      </w:r>
      <w:r w:rsidR="00955027">
        <w:rPr>
          <w:rFonts w:cstheme="minorHAnsi"/>
          <w:color w:val="000000"/>
        </w:rPr>
        <w:t>rows</w:t>
      </w:r>
      <w:r>
        <w:rPr>
          <w:rFonts w:cstheme="minorHAnsi"/>
          <w:color w:val="000000"/>
        </w:rPr>
        <w:t>.</w:t>
      </w:r>
      <w:r w:rsidR="00AC5A3A">
        <w:rPr>
          <w:rFonts w:cstheme="minorHAnsi"/>
          <w:color w:val="000000"/>
        </w:rPr>
        <w:t xml:space="preserve"> We also remove the first column, and keep the two-group variable as the first column in the dataset</w:t>
      </w:r>
      <w:r w:rsidR="00955027">
        <w:rPr>
          <w:rFonts w:cstheme="minorHAnsi"/>
          <w:color w:val="000000"/>
        </w:rPr>
        <w:t>.</w:t>
      </w:r>
      <w:r w:rsidR="00AC5A3A">
        <w:rPr>
          <w:rFonts w:cstheme="minorHAnsi"/>
          <w:color w:val="000000"/>
        </w:rPr>
        <w:t xml:space="preserve"> </w:t>
      </w:r>
      <w:r w:rsidR="00AC5A3A">
        <w:rPr>
          <w:rFonts w:cstheme="minorHAnsi"/>
          <w:color w:val="000000"/>
        </w:rPr>
        <w:fldChar w:fldCharType="begin"/>
      </w:r>
      <w:r w:rsidR="00AC5A3A">
        <w:rPr>
          <w:rFonts w:cstheme="minorHAnsi"/>
          <w:color w:val="000000"/>
        </w:rPr>
        <w:instrText xml:space="preserve"> REF _Ref31369218 \h </w:instrText>
      </w:r>
      <w:r w:rsidR="00AC5A3A">
        <w:rPr>
          <w:rFonts w:cstheme="minorHAnsi"/>
          <w:color w:val="000000"/>
        </w:rPr>
      </w:r>
      <w:r w:rsidR="00AC5A3A">
        <w:rPr>
          <w:rFonts w:cstheme="minorHAnsi"/>
          <w:color w:val="000000"/>
        </w:rPr>
        <w:fldChar w:fldCharType="separate"/>
      </w:r>
      <w:r w:rsidR="001440CE">
        <w:t xml:space="preserve">Figure </w:t>
      </w:r>
      <w:r w:rsidR="001440CE">
        <w:rPr>
          <w:noProof/>
        </w:rPr>
        <w:t>2</w:t>
      </w:r>
      <w:r w:rsidR="00AC5A3A">
        <w:rPr>
          <w:rFonts w:cstheme="minorHAnsi"/>
          <w:color w:val="000000"/>
        </w:rPr>
        <w:fldChar w:fldCharType="end"/>
      </w:r>
      <w:r w:rsidR="00AC5A3A">
        <w:rPr>
          <w:rFonts w:cstheme="minorHAnsi"/>
          <w:color w:val="000000"/>
        </w:rPr>
        <w:t xml:space="preserve"> shows the resulting dataset. This file is then saved as a </w:t>
      </w:r>
      <w:r w:rsidR="00AC5A3A" w:rsidRPr="00AC5A3A">
        <w:rPr>
          <w:rFonts w:cstheme="minorHAnsi"/>
          <w:i/>
          <w:color w:val="000000"/>
        </w:rPr>
        <w:t>CSV (Comma delimited) (*.csv)</w:t>
      </w:r>
      <w:r w:rsidR="00AC5A3A" w:rsidRPr="00AC5A3A">
        <w:rPr>
          <w:rFonts w:cstheme="minorHAnsi"/>
          <w:color w:val="000000"/>
        </w:rPr>
        <w:t xml:space="preserve"> format</w:t>
      </w:r>
      <w:r w:rsidR="00AC5A3A">
        <w:rPr>
          <w:rFonts w:cstheme="minorHAnsi"/>
          <w:color w:val="000000"/>
        </w:rPr>
        <w:t>, which removes all the other sheets.</w:t>
      </w:r>
    </w:p>
    <w:p w:rsidR="00AC5A3A" w:rsidRPr="00AC5A3A" w:rsidRDefault="00AC5A3A">
      <w:pPr>
        <w:rPr>
          <w:rFonts w:cstheme="minorHAnsi"/>
          <w:b/>
          <w:color w:val="000000"/>
        </w:rPr>
      </w:pPr>
      <w:proofErr w:type="spellStart"/>
      <w:r w:rsidRPr="00AC5A3A">
        <w:rPr>
          <w:rFonts w:cstheme="minorHAnsi"/>
          <w:b/>
          <w:color w:val="000000"/>
        </w:rPr>
        <w:t>PowerTools</w:t>
      </w:r>
      <w:proofErr w:type="spellEnd"/>
    </w:p>
    <w:p w:rsidR="00AC5A3A" w:rsidRDefault="00BA3A5B">
      <w:pPr>
        <w:rPr>
          <w:rFonts w:cstheme="minorHAnsi"/>
          <w:color w:val="000000" w:themeColor="text1"/>
        </w:rPr>
      </w:pPr>
      <w:r>
        <w:rPr>
          <w:rFonts w:cstheme="minorHAnsi"/>
          <w:color w:val="000000"/>
        </w:rPr>
        <w:t xml:space="preserve">We start loading the </w:t>
      </w:r>
      <w:proofErr w:type="spellStart"/>
      <w:r>
        <w:rPr>
          <w:rFonts w:cstheme="minorHAnsi"/>
          <w:color w:val="000000"/>
        </w:rPr>
        <w:t>PowerTools</w:t>
      </w:r>
      <w:proofErr w:type="spellEnd"/>
      <w:r>
        <w:rPr>
          <w:rFonts w:cstheme="minorHAnsi"/>
          <w:color w:val="000000"/>
        </w:rPr>
        <w:t xml:space="preserve"> webpage </w:t>
      </w:r>
      <w:r>
        <w:rPr>
          <w:rFonts w:cstheme="minorHAnsi"/>
          <w:color w:val="000000" w:themeColor="text1"/>
        </w:rPr>
        <w:fldChar w:fldCharType="begin"/>
      </w:r>
      <w:r>
        <w:rPr>
          <w:rFonts w:cstheme="minorHAnsi"/>
          <w:color w:val="000000" w:themeColor="text1"/>
        </w:rPr>
        <w:instrText xml:space="preserve"> ADDIN EN.CITE &lt;EndNote&gt;&lt;Cite&gt;&lt;Author&gt;Larkman&lt;/Author&gt;&lt;Year&gt;2019&lt;/Year&gt;&lt;RecNum&gt;22&lt;/RecNum&gt;&lt;DisplayText&gt;[1]&lt;/DisplayText&gt;&lt;record&gt;&lt;rec-number&gt;22&lt;/rec-number&gt;&lt;foreign-keys&gt;&lt;key app="EN" db-id="a0xdzvwz1t29tieevw75xzsr02pefsxdvdvv" timestamp="1580412269"&gt;22&lt;/key&gt;&lt;/foreign-keys&gt;&lt;ref-type name="Web Page"&gt;12&lt;/ref-type&gt;&lt;contributors&gt;&lt;authors&gt;&lt;author&gt;Joseph Larkman&lt;/author&gt;&lt;/authors&gt;&lt;/contributors&gt;&lt;titles&gt;&lt;title&gt;PowerTools&lt;/title&gt;&lt;/titles&gt;&lt;number&gt;30 January 2020&lt;/number&gt;&lt;dates&gt;&lt;year&gt;2019&lt;/year&gt;&lt;/dates&gt;&lt;urls&gt;&lt;related-urls&gt;&lt;url&gt;https://joelarkman.shinyapps.io/PowerTools/&lt;/url&gt;&lt;/related-urls&gt;&lt;/urls&gt;&lt;/record&gt;&lt;/Cite&gt;&lt;/EndNote&gt;</w:instrText>
      </w:r>
      <w:r>
        <w:rPr>
          <w:rFonts w:cstheme="minorHAnsi"/>
          <w:color w:val="000000" w:themeColor="text1"/>
        </w:rPr>
        <w:fldChar w:fldCharType="separate"/>
      </w:r>
      <w:r>
        <w:rPr>
          <w:rFonts w:cstheme="minorHAnsi"/>
          <w:noProof/>
          <w:color w:val="000000" w:themeColor="text1"/>
        </w:rPr>
        <w:t>[1]</w:t>
      </w:r>
      <w:r>
        <w:rPr>
          <w:rFonts w:cstheme="minorHAnsi"/>
          <w:color w:val="000000" w:themeColor="text1"/>
        </w:rPr>
        <w:fldChar w:fldCharType="end"/>
      </w:r>
      <w:r>
        <w:rPr>
          <w:rFonts w:cstheme="minorHAnsi"/>
          <w:color w:val="000000" w:themeColor="text1"/>
        </w:rPr>
        <w:t xml:space="preserve"> (link in the references). In the </w:t>
      </w:r>
      <w:r w:rsidRPr="002E1614">
        <w:rPr>
          <w:rFonts w:cstheme="minorHAnsi"/>
          <w:i/>
          <w:color w:val="000000" w:themeColor="text1"/>
        </w:rPr>
        <w:t xml:space="preserve">Data </w:t>
      </w:r>
      <w:proofErr w:type="gramStart"/>
      <w:r w:rsidRPr="002E1614">
        <w:rPr>
          <w:rFonts w:cstheme="minorHAnsi"/>
          <w:i/>
          <w:color w:val="000000" w:themeColor="text1"/>
        </w:rPr>
        <w:t>Upload</w:t>
      </w:r>
      <w:proofErr w:type="gramEnd"/>
      <w:r w:rsidR="002E1614">
        <w:rPr>
          <w:rFonts w:cstheme="minorHAnsi"/>
          <w:color w:val="000000" w:themeColor="text1"/>
        </w:rPr>
        <w:t xml:space="preserve"> tab, under </w:t>
      </w:r>
      <w:r w:rsidR="002E1614" w:rsidRPr="002E1614">
        <w:rPr>
          <w:rFonts w:cstheme="minorHAnsi"/>
          <w:i/>
          <w:color w:val="000000" w:themeColor="text1"/>
        </w:rPr>
        <w:t>Choose CSV File</w:t>
      </w:r>
      <w:r w:rsidR="002E1614">
        <w:rPr>
          <w:rFonts w:cstheme="minorHAnsi"/>
          <w:color w:val="000000" w:themeColor="text1"/>
        </w:rPr>
        <w:t xml:space="preserve">, click on </w:t>
      </w:r>
      <w:r w:rsidR="002E1614" w:rsidRPr="002E1614">
        <w:rPr>
          <w:rFonts w:cstheme="minorHAnsi"/>
          <w:i/>
          <w:color w:val="000000" w:themeColor="text1"/>
        </w:rPr>
        <w:t>Browse…</w:t>
      </w:r>
      <w:r w:rsidR="002E1614">
        <w:rPr>
          <w:rFonts w:cstheme="minorHAnsi"/>
          <w:i/>
          <w:color w:val="000000" w:themeColor="text1"/>
        </w:rPr>
        <w:t xml:space="preserve"> </w:t>
      </w:r>
      <w:r w:rsidR="002E1614">
        <w:rPr>
          <w:rFonts w:cstheme="minorHAnsi"/>
          <w:color w:val="000000" w:themeColor="text1"/>
        </w:rPr>
        <w:t xml:space="preserve">to upload the file we created. </w:t>
      </w:r>
      <w:r w:rsidR="00AE2E2F">
        <w:rPr>
          <w:rFonts w:cstheme="minorHAnsi"/>
          <w:color w:val="000000" w:themeColor="text1"/>
        </w:rPr>
        <w:fldChar w:fldCharType="begin"/>
      </w:r>
      <w:r w:rsidR="00AE2E2F">
        <w:rPr>
          <w:rFonts w:cstheme="minorHAnsi"/>
          <w:color w:val="000000" w:themeColor="text1"/>
        </w:rPr>
        <w:instrText xml:space="preserve"> REF _Ref31369854 \h </w:instrText>
      </w:r>
      <w:r w:rsidR="00AE2E2F">
        <w:rPr>
          <w:rFonts w:cstheme="minorHAnsi"/>
          <w:color w:val="000000" w:themeColor="text1"/>
        </w:rPr>
      </w:r>
      <w:r w:rsidR="00AE2E2F">
        <w:rPr>
          <w:rFonts w:cstheme="minorHAnsi"/>
          <w:color w:val="000000" w:themeColor="text1"/>
        </w:rPr>
        <w:fldChar w:fldCharType="separate"/>
      </w:r>
      <w:r w:rsidR="001440CE">
        <w:t xml:space="preserve">Figure </w:t>
      </w:r>
      <w:r w:rsidR="001440CE">
        <w:rPr>
          <w:noProof/>
        </w:rPr>
        <w:t>3</w:t>
      </w:r>
      <w:r w:rsidR="00AE2E2F">
        <w:rPr>
          <w:rFonts w:cstheme="minorHAnsi"/>
          <w:color w:val="000000" w:themeColor="text1"/>
        </w:rPr>
        <w:fldChar w:fldCharType="end"/>
      </w:r>
      <w:r w:rsidR="00AE2E2F">
        <w:rPr>
          <w:rFonts w:cstheme="minorHAnsi"/>
          <w:color w:val="000000" w:themeColor="text1"/>
        </w:rPr>
        <w:t xml:space="preserve"> exemplifies this process.</w:t>
      </w:r>
      <w:r w:rsidR="001440CE">
        <w:rPr>
          <w:rFonts w:cstheme="minorHAnsi"/>
          <w:color w:val="000000" w:themeColor="text1"/>
        </w:rPr>
        <w:t xml:space="preserve"> After the dataset is uploaded a </w:t>
      </w:r>
      <w:r w:rsidR="00A43184">
        <w:rPr>
          <w:rFonts w:cstheme="minorHAnsi"/>
          <w:color w:val="000000" w:themeColor="text1"/>
        </w:rPr>
        <w:t>red</w:t>
      </w:r>
      <w:r w:rsidR="001440CE">
        <w:rPr>
          <w:rFonts w:cstheme="minorHAnsi"/>
          <w:color w:val="000000" w:themeColor="text1"/>
        </w:rPr>
        <w:t xml:space="preserve"> message indicating </w:t>
      </w:r>
      <w:r w:rsidR="00A43184">
        <w:rPr>
          <w:rFonts w:cstheme="minorHAnsi"/>
          <w:i/>
          <w:color w:val="000000" w:themeColor="text1"/>
        </w:rPr>
        <w:t>Invalid data for regression mode</w:t>
      </w:r>
      <w:r w:rsidR="001440CE">
        <w:rPr>
          <w:rFonts w:cstheme="minorHAnsi"/>
          <w:color w:val="000000" w:themeColor="text1"/>
        </w:rPr>
        <w:t xml:space="preserve"> appears in the bottom left side.</w:t>
      </w:r>
      <w:r w:rsidR="00A43184">
        <w:rPr>
          <w:rFonts w:cstheme="minorHAnsi"/>
          <w:color w:val="000000" w:themeColor="text1"/>
        </w:rPr>
        <w:t xml:space="preserve"> Under </w:t>
      </w:r>
      <w:r w:rsidR="00A43184" w:rsidRPr="00A43184">
        <w:rPr>
          <w:rFonts w:cstheme="minorHAnsi"/>
          <w:i/>
          <w:color w:val="000000" w:themeColor="text1"/>
        </w:rPr>
        <w:t>Power Function Parameters</w:t>
      </w:r>
      <w:r w:rsidR="00A43184">
        <w:rPr>
          <w:rFonts w:cstheme="minorHAnsi"/>
          <w:color w:val="000000" w:themeColor="text1"/>
        </w:rPr>
        <w:t xml:space="preserve"> option </w:t>
      </w:r>
      <w:r w:rsidR="00A43184" w:rsidRPr="00A43184">
        <w:rPr>
          <w:rFonts w:cstheme="minorHAnsi"/>
          <w:i/>
          <w:color w:val="000000" w:themeColor="text1"/>
        </w:rPr>
        <w:t>Outcome variable type</w:t>
      </w:r>
      <w:r w:rsidR="00A43184">
        <w:rPr>
          <w:rFonts w:cstheme="minorHAnsi"/>
          <w:color w:val="000000" w:themeColor="text1"/>
        </w:rPr>
        <w:t xml:space="preserve">, select </w:t>
      </w:r>
      <w:r w:rsidR="00A43184" w:rsidRPr="00A43184">
        <w:rPr>
          <w:rFonts w:cstheme="minorHAnsi"/>
          <w:i/>
          <w:color w:val="000000" w:themeColor="text1"/>
        </w:rPr>
        <w:t>Two-group Classification</w:t>
      </w:r>
      <w:r w:rsidR="00A43184">
        <w:rPr>
          <w:rFonts w:cstheme="minorHAnsi"/>
          <w:color w:val="000000" w:themeColor="text1"/>
        </w:rPr>
        <w:t xml:space="preserve">. A blue message indicating </w:t>
      </w:r>
      <w:r w:rsidR="00A43184" w:rsidRPr="00A43184">
        <w:rPr>
          <w:rFonts w:cstheme="minorHAnsi"/>
          <w:i/>
          <w:color w:val="000000" w:themeColor="text1"/>
        </w:rPr>
        <w:t>Data loaded</w:t>
      </w:r>
      <w:r w:rsidR="00A43184">
        <w:rPr>
          <w:rFonts w:cstheme="minorHAnsi"/>
          <w:color w:val="000000" w:themeColor="text1"/>
        </w:rPr>
        <w:t xml:space="preserve"> appears.</w:t>
      </w:r>
      <w:r w:rsidR="00EC61F2">
        <w:rPr>
          <w:rFonts w:cstheme="minorHAnsi"/>
          <w:color w:val="000000" w:themeColor="text1"/>
        </w:rPr>
        <w:t xml:space="preserve"> Change the </w:t>
      </w:r>
      <w:r w:rsidR="00EC61F2" w:rsidRPr="00EC61F2">
        <w:rPr>
          <w:rFonts w:cstheme="minorHAnsi"/>
          <w:i/>
          <w:color w:val="000000" w:themeColor="text1"/>
        </w:rPr>
        <w:t xml:space="preserve">Range of sample </w:t>
      </w:r>
      <w:r w:rsidR="00EC61F2" w:rsidRPr="00EC61F2">
        <w:rPr>
          <w:rFonts w:cstheme="minorHAnsi"/>
          <w:i/>
          <w:color w:val="000000" w:themeColor="text1"/>
        </w:rPr>
        <w:lastRenderedPageBreak/>
        <w:t>sizes</w:t>
      </w:r>
      <w:r w:rsidR="00EC61F2">
        <w:rPr>
          <w:rFonts w:cstheme="minorHAnsi"/>
          <w:color w:val="000000" w:themeColor="text1"/>
        </w:rPr>
        <w:t xml:space="preserve"> as appropriate. In this scenario the range selected is 30 to 300. </w:t>
      </w:r>
      <w:r w:rsidR="00EC61F2">
        <w:rPr>
          <w:rFonts w:cstheme="minorHAnsi"/>
          <w:color w:val="000000" w:themeColor="text1"/>
        </w:rPr>
        <w:fldChar w:fldCharType="begin"/>
      </w:r>
      <w:r w:rsidR="00EC61F2">
        <w:rPr>
          <w:rFonts w:cstheme="minorHAnsi"/>
          <w:color w:val="000000" w:themeColor="text1"/>
        </w:rPr>
        <w:instrText xml:space="preserve"> REF _Ref31373266 \h </w:instrText>
      </w:r>
      <w:r w:rsidR="00EC61F2">
        <w:rPr>
          <w:rFonts w:cstheme="minorHAnsi"/>
          <w:color w:val="000000" w:themeColor="text1"/>
        </w:rPr>
      </w:r>
      <w:r w:rsidR="00EC61F2">
        <w:rPr>
          <w:rFonts w:cstheme="minorHAnsi"/>
          <w:color w:val="000000" w:themeColor="text1"/>
        </w:rPr>
        <w:fldChar w:fldCharType="separate"/>
      </w:r>
      <w:r w:rsidR="00EC61F2">
        <w:t xml:space="preserve">Figure </w:t>
      </w:r>
      <w:r w:rsidR="00EC61F2">
        <w:rPr>
          <w:noProof/>
        </w:rPr>
        <w:t>4</w:t>
      </w:r>
      <w:r w:rsidR="00EC61F2">
        <w:rPr>
          <w:rFonts w:cstheme="minorHAnsi"/>
          <w:color w:val="000000" w:themeColor="text1"/>
        </w:rPr>
        <w:fldChar w:fldCharType="end"/>
      </w:r>
      <w:r w:rsidR="00EC61F2">
        <w:rPr>
          <w:rFonts w:cstheme="minorHAnsi"/>
          <w:color w:val="000000" w:themeColor="text1"/>
        </w:rPr>
        <w:t xml:space="preserve"> shows the final setting. Click </w:t>
      </w:r>
      <w:r w:rsidR="00EC61F2" w:rsidRPr="00EC61F2">
        <w:rPr>
          <w:rFonts w:cstheme="minorHAnsi"/>
          <w:i/>
          <w:color w:val="000000" w:themeColor="text1"/>
        </w:rPr>
        <w:t>Submit</w:t>
      </w:r>
      <w:r w:rsidR="00EC61F2">
        <w:rPr>
          <w:rFonts w:cstheme="minorHAnsi"/>
          <w:color w:val="000000" w:themeColor="text1"/>
        </w:rPr>
        <w:t xml:space="preserve"> to start the analysis.</w:t>
      </w:r>
    </w:p>
    <w:p w:rsidR="00D36B58" w:rsidRPr="00DC7D12" w:rsidRDefault="00D36B58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After click to submit the options to analysis a text box on the right side appears and the progress of the analysis is shown.</w:t>
      </w:r>
      <w:r w:rsidR="00DC7D12">
        <w:rPr>
          <w:rFonts w:cstheme="minorHAnsi"/>
          <w:color w:val="000000" w:themeColor="text1"/>
        </w:rPr>
        <w:t xml:space="preserve"> After the iteration through different sample sizes and the variables available, the view changes to the </w:t>
      </w:r>
      <w:r w:rsidR="00DC7D12" w:rsidRPr="00DC7D12">
        <w:rPr>
          <w:rFonts w:cstheme="minorHAnsi"/>
          <w:i/>
          <w:color w:val="000000" w:themeColor="text1"/>
        </w:rPr>
        <w:t>Results</w:t>
      </w:r>
      <w:r w:rsidR="00DC7D12">
        <w:rPr>
          <w:rFonts w:cstheme="minorHAnsi"/>
          <w:color w:val="000000" w:themeColor="text1"/>
        </w:rPr>
        <w:t xml:space="preserve"> tab, </w:t>
      </w:r>
      <w:r w:rsidR="00DC7D12">
        <w:rPr>
          <w:rFonts w:cstheme="minorHAnsi"/>
          <w:color w:val="000000" w:themeColor="text1"/>
        </w:rPr>
        <w:fldChar w:fldCharType="begin"/>
      </w:r>
      <w:r w:rsidR="00DC7D12">
        <w:rPr>
          <w:rFonts w:cstheme="minorHAnsi"/>
          <w:color w:val="000000" w:themeColor="text1"/>
        </w:rPr>
        <w:instrText xml:space="preserve"> REF _Ref31374496 \h </w:instrText>
      </w:r>
      <w:r w:rsidR="00DC7D12">
        <w:rPr>
          <w:rFonts w:cstheme="minorHAnsi"/>
          <w:color w:val="000000" w:themeColor="text1"/>
        </w:rPr>
      </w:r>
      <w:r w:rsidR="00DC7D12">
        <w:rPr>
          <w:rFonts w:cstheme="minorHAnsi"/>
          <w:color w:val="000000" w:themeColor="text1"/>
        </w:rPr>
        <w:fldChar w:fldCharType="separate"/>
      </w:r>
      <w:r w:rsidR="00DC7D12">
        <w:t xml:space="preserve">Figure </w:t>
      </w:r>
      <w:r w:rsidR="00DC7D12">
        <w:rPr>
          <w:noProof/>
        </w:rPr>
        <w:t>5</w:t>
      </w:r>
      <w:r w:rsidR="00DC7D12">
        <w:rPr>
          <w:rFonts w:cstheme="minorHAnsi"/>
          <w:color w:val="000000" w:themeColor="text1"/>
        </w:rPr>
        <w:fldChar w:fldCharType="end"/>
      </w:r>
      <w:r w:rsidR="00DC7D12">
        <w:rPr>
          <w:rFonts w:cstheme="minorHAnsi"/>
          <w:color w:val="000000" w:themeColor="text1"/>
        </w:rPr>
        <w:t xml:space="preserve">. It is possible to visualise the variables and the estimated power given the sample size. For example, lipid </w:t>
      </w:r>
      <w:r w:rsidR="00DC7D12" w:rsidRPr="00DC7D12">
        <w:rPr>
          <w:rFonts w:cstheme="minorHAnsi"/>
          <w:i/>
          <w:color w:val="000000" w:themeColor="text1"/>
        </w:rPr>
        <w:t>TG.54.4</w:t>
      </w:r>
      <w:r w:rsidR="00DC7D12">
        <w:rPr>
          <w:rFonts w:cstheme="minorHAnsi"/>
          <w:color w:val="000000" w:themeColor="text1"/>
        </w:rPr>
        <w:t xml:space="preserve"> reaches power 1 with circa 120 samples, whilst LysoPC.20.3 with around 480 samples for using </w:t>
      </w:r>
      <w:proofErr w:type="spellStart"/>
      <w:r w:rsidR="00DC7D12">
        <w:rPr>
          <w:rFonts w:cstheme="minorHAnsi"/>
          <w:color w:val="000000" w:themeColor="text1"/>
        </w:rPr>
        <w:t>Bonferroni</w:t>
      </w:r>
      <w:proofErr w:type="spellEnd"/>
      <w:r w:rsidR="00DC7D12">
        <w:rPr>
          <w:rFonts w:cstheme="minorHAnsi"/>
          <w:color w:val="000000" w:themeColor="text1"/>
        </w:rPr>
        <w:t xml:space="preserve"> correction </w:t>
      </w:r>
      <w:r w:rsidR="00691B8D">
        <w:rPr>
          <w:rFonts w:cstheme="minorHAnsi"/>
          <w:color w:val="000000" w:themeColor="text1"/>
        </w:rPr>
        <w:fldChar w:fldCharType="begin"/>
      </w:r>
      <w:r w:rsidR="00691B8D">
        <w:rPr>
          <w:rFonts w:cstheme="minorHAnsi"/>
          <w:color w:val="000000" w:themeColor="text1"/>
        </w:rPr>
        <w:instrText xml:space="preserve"> ADDIN EN.CITE &lt;EndNote&gt;&lt;Cite&gt;&lt;Author&gt;Haynes&lt;/Author&gt;&lt;Year&gt;2013&lt;/Year&gt;&lt;RecNum&gt;26&lt;/RecNum&gt;&lt;DisplayText&gt;[4]&lt;/DisplayText&gt;&lt;record&gt;&lt;rec-number&gt;26&lt;/rec-number&gt;&lt;foreign-keys&gt;&lt;key app="EN" db-id="a0xdzvwz1t29tieevw75xzsr02pefsxdvdvv" timestamp="1580482371"&gt;26&lt;/key&gt;&lt;/foreign-keys&gt;&lt;ref-type name="Book Section"&gt;5&lt;/ref-type&gt;&lt;contributors&gt;&lt;authors&gt;&lt;author&gt;Haynes, Winston&lt;/author&gt;&lt;/authors&gt;&lt;secondary-authors&gt;&lt;author&gt;Dubitzky, Werner&lt;/author&gt;&lt;author&gt;Wolkenhauer, Olaf&lt;/author&gt;&lt;author&gt;Cho, Kwang-Hyun&lt;/author&gt;&lt;author&gt;Yokota, Hiroki&lt;/author&gt;&lt;/secondary-authors&gt;&lt;/contributors&gt;&lt;titles&gt;&lt;title&gt;Bonferroni Correction&lt;/title&gt;&lt;secondary-title&gt;Encyclopedia of Systems Biology&lt;/secondary-title&gt;&lt;/titles&gt;&lt;pages&gt;154-154&lt;/pages&gt;&lt;dates&gt;&lt;year&gt;2013&lt;/year&gt;&lt;/dates&gt;&lt;pub-location&gt;New York, NY&lt;/pub-location&gt;&lt;publisher&gt;Springer New York&lt;/publisher&gt;&lt;isbn&gt;978-1-4419-9863-7&lt;/isbn&gt;&lt;label&gt;Haynes2013&lt;/label&gt;&lt;urls&gt;&lt;related-urls&gt;&lt;url&gt;https://doi.org/10.1007/978-1-4419-9863-7_1213&lt;/url&gt;&lt;/related-urls&gt;&lt;/urls&gt;&lt;electronic-resource-num&gt;10.1007/978-1-4419-9863-7_1213&lt;/electronic-resource-num&gt;&lt;/record&gt;&lt;/Cite&gt;&lt;/EndNote&gt;</w:instrText>
      </w:r>
      <w:r w:rsidR="00691B8D">
        <w:rPr>
          <w:rFonts w:cstheme="minorHAnsi"/>
          <w:color w:val="000000" w:themeColor="text1"/>
        </w:rPr>
        <w:fldChar w:fldCharType="separate"/>
      </w:r>
      <w:r w:rsidR="00691B8D">
        <w:rPr>
          <w:rFonts w:cstheme="minorHAnsi"/>
          <w:noProof/>
          <w:color w:val="000000" w:themeColor="text1"/>
        </w:rPr>
        <w:t>[4]</w:t>
      </w:r>
      <w:r w:rsidR="00691B8D">
        <w:rPr>
          <w:rFonts w:cstheme="minorHAnsi"/>
          <w:color w:val="000000" w:themeColor="text1"/>
        </w:rPr>
        <w:fldChar w:fldCharType="end"/>
      </w:r>
      <w:r w:rsidR="00DC7D12">
        <w:rPr>
          <w:rFonts w:cstheme="minorHAnsi"/>
          <w:color w:val="000000" w:themeColor="text1"/>
        </w:rPr>
        <w:t>. In the bottom of the page is possible to download the data for the results figure.</w:t>
      </w:r>
    </w:p>
    <w:p w:rsidR="001440CE" w:rsidRDefault="001440CE" w:rsidP="00AC5A3A">
      <w:pPr>
        <w:keepNext/>
      </w:pPr>
    </w:p>
    <w:p w:rsidR="00AC5A3A" w:rsidRDefault="00AC5A3A" w:rsidP="00AC5A3A">
      <w:pPr>
        <w:keepNext/>
      </w:pPr>
      <w:r w:rsidRPr="00AC5A3A">
        <w:rPr>
          <w:rFonts w:cstheme="minorHAnsi"/>
          <w:noProof/>
          <w:color w:val="000000"/>
          <w:lang w:eastAsia="en-GB"/>
        </w:rPr>
        <w:drawing>
          <wp:inline distT="0" distB="0" distL="0" distR="0">
            <wp:extent cx="5731510" cy="3085740"/>
            <wp:effectExtent l="0" t="0" r="2540" b="635"/>
            <wp:docPr id="2" name="Picture 2" descr="C:\Users\vroth\Desktop\20200131_PowerTools_manual\3_column_remov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roth\Desktop\20200131_PowerTools_manual\3_column_remove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8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59B9" w:rsidRDefault="00AC5A3A" w:rsidP="00AC5A3A">
      <w:pPr>
        <w:pStyle w:val="Caption"/>
        <w:rPr>
          <w:rFonts w:cstheme="minorHAnsi"/>
          <w:color w:val="000000"/>
        </w:rPr>
      </w:pPr>
      <w:bookmarkStart w:id="3" w:name="_Ref31369218"/>
      <w:r>
        <w:t xml:space="preserve">Figure </w:t>
      </w:r>
      <w:r w:rsidR="003D3691">
        <w:fldChar w:fldCharType="begin"/>
      </w:r>
      <w:r w:rsidR="003D3691">
        <w:instrText xml:space="preserve"> SEQ Figure \* ARABIC </w:instrText>
      </w:r>
      <w:r w:rsidR="003D3691">
        <w:fldChar w:fldCharType="separate"/>
      </w:r>
      <w:r w:rsidR="00DC7D12">
        <w:rPr>
          <w:noProof/>
        </w:rPr>
        <w:t>2</w:t>
      </w:r>
      <w:r w:rsidR="003D3691">
        <w:rPr>
          <w:noProof/>
        </w:rPr>
        <w:fldChar w:fldCharType="end"/>
      </w:r>
      <w:bookmarkEnd w:id="3"/>
      <w:r>
        <w:t>: Dataset ready for analysis.</w:t>
      </w:r>
    </w:p>
    <w:p w:rsidR="00AE2E2F" w:rsidRDefault="00AE2E2F" w:rsidP="00AE2E2F">
      <w:pPr>
        <w:pStyle w:val="EndNoteBibliography"/>
        <w:keepNext/>
        <w:spacing w:after="0"/>
      </w:pPr>
      <w:r w:rsidRPr="00AE2E2F">
        <w:rPr>
          <w:lang w:val="en-GB" w:eastAsia="en-GB"/>
        </w:rPr>
        <w:drawing>
          <wp:inline distT="0" distB="0" distL="0" distR="0">
            <wp:extent cx="5731510" cy="3064931"/>
            <wp:effectExtent l="0" t="0" r="2540" b="2540"/>
            <wp:docPr id="4" name="Picture 4" descr="C:\Users\vroth\Desktop\20200131_PowerTools_manual\4_power_too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vroth\Desktop\20200131_PowerTools_manual\4_power_tool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31510" cy="306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614" w:rsidRDefault="00AE2E2F" w:rsidP="00AE2E2F">
      <w:pPr>
        <w:pStyle w:val="Caption"/>
      </w:pPr>
      <w:bookmarkStart w:id="4" w:name="_Ref31369854"/>
      <w:r>
        <w:t xml:space="preserve">Figure </w:t>
      </w:r>
      <w:r w:rsidR="003D3691">
        <w:fldChar w:fldCharType="begin"/>
      </w:r>
      <w:r w:rsidR="003D3691">
        <w:instrText xml:space="preserve"> SEQ Figure \* ARABIC </w:instrText>
      </w:r>
      <w:r w:rsidR="003D3691">
        <w:fldChar w:fldCharType="separate"/>
      </w:r>
      <w:r w:rsidR="00DC7D12">
        <w:rPr>
          <w:noProof/>
        </w:rPr>
        <w:t>3</w:t>
      </w:r>
      <w:r w:rsidR="003D3691">
        <w:rPr>
          <w:noProof/>
        </w:rPr>
        <w:fldChar w:fldCharType="end"/>
      </w:r>
      <w:bookmarkEnd w:id="4"/>
      <w:r>
        <w:t xml:space="preserve">: Loading a dataset in </w:t>
      </w:r>
      <w:proofErr w:type="spellStart"/>
      <w:r>
        <w:t>PowerTools</w:t>
      </w:r>
      <w:proofErr w:type="spellEnd"/>
      <w:r>
        <w:t xml:space="preserve"> webpage.</w:t>
      </w:r>
    </w:p>
    <w:p w:rsidR="00EC61F2" w:rsidRDefault="00EC61F2" w:rsidP="00EC61F2">
      <w:pPr>
        <w:pStyle w:val="EndNoteBibliography"/>
        <w:keepNext/>
        <w:spacing w:after="0"/>
      </w:pPr>
      <w:r>
        <w:rPr>
          <w:lang w:val="en-GB" w:eastAsia="en-GB"/>
        </w:rPr>
        <w:lastRenderedPageBreak/>
        <w:drawing>
          <wp:inline distT="0" distB="0" distL="0" distR="0" wp14:anchorId="7D69AB39" wp14:editId="06429792">
            <wp:extent cx="5731510" cy="307467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614" w:rsidRDefault="00EC61F2" w:rsidP="00EC61F2">
      <w:pPr>
        <w:pStyle w:val="Caption"/>
      </w:pPr>
      <w:bookmarkStart w:id="5" w:name="_Ref31373266"/>
      <w:r>
        <w:t xml:space="preserve">Figure </w:t>
      </w:r>
      <w:r w:rsidR="003D3691">
        <w:fldChar w:fldCharType="begin"/>
      </w:r>
      <w:r w:rsidR="003D3691">
        <w:instrText xml:space="preserve"> SEQ Figure \* ARABIC </w:instrText>
      </w:r>
      <w:r w:rsidR="003D3691">
        <w:fldChar w:fldCharType="separate"/>
      </w:r>
      <w:r w:rsidR="00DC7D12">
        <w:rPr>
          <w:noProof/>
        </w:rPr>
        <w:t>4</w:t>
      </w:r>
      <w:r w:rsidR="003D3691">
        <w:rPr>
          <w:noProof/>
        </w:rPr>
        <w:fldChar w:fldCharType="end"/>
      </w:r>
      <w:bookmarkEnd w:id="5"/>
      <w:r>
        <w:t xml:space="preserve">: </w:t>
      </w:r>
      <w:proofErr w:type="spellStart"/>
      <w:r>
        <w:t>PowerTools</w:t>
      </w:r>
      <w:proofErr w:type="spellEnd"/>
      <w:r>
        <w:t xml:space="preserve"> options selected after uploading the dataset.</w:t>
      </w:r>
    </w:p>
    <w:p w:rsidR="00DC7D12" w:rsidRDefault="00DC7D12" w:rsidP="00DC7D12">
      <w:pPr>
        <w:pStyle w:val="EndNoteBibliography"/>
        <w:keepNext/>
        <w:spacing w:after="0"/>
      </w:pPr>
      <w:r>
        <w:rPr>
          <w:lang w:val="en-GB" w:eastAsia="en-GB"/>
        </w:rPr>
        <w:drawing>
          <wp:inline distT="0" distB="0" distL="0" distR="0" wp14:anchorId="59014A7E" wp14:editId="45D13AE4">
            <wp:extent cx="5731510" cy="307467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614" w:rsidRDefault="00DC7D12" w:rsidP="00DC7D12">
      <w:pPr>
        <w:pStyle w:val="Caption"/>
      </w:pPr>
      <w:bookmarkStart w:id="6" w:name="_Ref31374496"/>
      <w:r>
        <w:t xml:space="preserve">Figure </w:t>
      </w:r>
      <w:r w:rsidR="003D3691">
        <w:fldChar w:fldCharType="begin"/>
      </w:r>
      <w:r w:rsidR="003D3691">
        <w:instrText xml:space="preserve"> SEQ Figure \* ARABIC </w:instrText>
      </w:r>
      <w:r w:rsidR="003D3691">
        <w:fldChar w:fldCharType="separate"/>
      </w:r>
      <w:r>
        <w:rPr>
          <w:noProof/>
        </w:rPr>
        <w:t>5</w:t>
      </w:r>
      <w:r w:rsidR="003D3691">
        <w:rPr>
          <w:noProof/>
        </w:rPr>
        <w:fldChar w:fldCharType="end"/>
      </w:r>
      <w:bookmarkEnd w:id="6"/>
      <w:r>
        <w:t>: Results tab after finishing the analysis.</w:t>
      </w:r>
    </w:p>
    <w:p w:rsidR="002E1614" w:rsidRDefault="002E1614" w:rsidP="00D0027A">
      <w:pPr>
        <w:pStyle w:val="EndNoteBibliography"/>
        <w:spacing w:after="0"/>
      </w:pPr>
    </w:p>
    <w:p w:rsidR="00691B8D" w:rsidRPr="00691B8D" w:rsidRDefault="00E766BE" w:rsidP="00691B8D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691B8D" w:rsidRPr="00691B8D">
        <w:t>1.</w:t>
      </w:r>
      <w:r w:rsidR="00691B8D" w:rsidRPr="00691B8D">
        <w:tab/>
        <w:t xml:space="preserve">Larkman J. PowerTools 2019 [Available from: </w:t>
      </w:r>
      <w:hyperlink r:id="rId10" w:history="1">
        <w:r w:rsidR="00691B8D" w:rsidRPr="00691B8D">
          <w:rPr>
            <w:rStyle w:val="Hyperlink"/>
          </w:rPr>
          <w:t>https://joelarkman.shinyapps.io/PowerTools/</w:t>
        </w:r>
      </w:hyperlink>
      <w:r w:rsidR="00691B8D" w:rsidRPr="00691B8D">
        <w:t>. Accessed on 30 January 2020.</w:t>
      </w:r>
    </w:p>
    <w:p w:rsidR="00691B8D" w:rsidRPr="00691B8D" w:rsidRDefault="00691B8D" w:rsidP="00691B8D">
      <w:pPr>
        <w:pStyle w:val="EndNoteBibliography"/>
        <w:spacing w:after="0"/>
      </w:pPr>
      <w:r w:rsidRPr="00691B8D">
        <w:t>2.</w:t>
      </w:r>
      <w:r w:rsidRPr="00691B8D">
        <w:tab/>
        <w:t>Acharjee A, Prentice P, Acerini C, Smith J, Hughes IA, Ong K, et al. The translation of lipid profiles to nutritional biomarkers in the study of infant metabolism. Metabolomics. 2017;13(3):25. doi:10.1007/s11306-017-1166-2.</w:t>
      </w:r>
    </w:p>
    <w:p w:rsidR="00691B8D" w:rsidRPr="00691B8D" w:rsidRDefault="00691B8D" w:rsidP="00691B8D">
      <w:pPr>
        <w:pStyle w:val="EndNoteBibliography"/>
        <w:spacing w:after="0"/>
      </w:pPr>
      <w:r w:rsidRPr="00691B8D">
        <w:t>3.</w:t>
      </w:r>
      <w:r w:rsidRPr="00691B8D">
        <w:tab/>
        <w:t>Microsoft. Excel. California2016.</w:t>
      </w:r>
    </w:p>
    <w:p w:rsidR="00691B8D" w:rsidRPr="00691B8D" w:rsidRDefault="00691B8D" w:rsidP="00691B8D">
      <w:pPr>
        <w:pStyle w:val="EndNoteBibliography"/>
      </w:pPr>
      <w:r w:rsidRPr="00691B8D">
        <w:t>4.</w:t>
      </w:r>
      <w:r w:rsidRPr="00691B8D">
        <w:tab/>
        <w:t>Haynes W. Bonferroni Correction. In: Dubitzky W, Wolkenhauer O, Cho K-H, Yokota H, editors. Encyclopedia of Systems Biology. New York, NY: Springer New York; 2013. p. 154-.</w:t>
      </w:r>
    </w:p>
    <w:p w:rsidR="00C047C2" w:rsidRDefault="00E766BE">
      <w:r>
        <w:fldChar w:fldCharType="end"/>
      </w:r>
    </w:p>
    <w:sectPr w:rsidR="00C047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 modified for DOI web acces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0xdzvwz1t29tieevw75xzsr02pefsxdvdvv&quot;&gt;20200130_Power_Analysis_Omics&lt;record-ids&gt;&lt;item&gt;20&lt;/item&gt;&lt;item&gt;22&lt;/item&gt;&lt;item&gt;25&lt;/item&gt;&lt;item&gt;26&lt;/item&gt;&lt;/record-ids&gt;&lt;/item&gt;&lt;/Libraries&gt;"/>
  </w:docVars>
  <w:rsids>
    <w:rsidRoot w:val="00E766BE"/>
    <w:rsid w:val="001440CE"/>
    <w:rsid w:val="002E1614"/>
    <w:rsid w:val="003D3691"/>
    <w:rsid w:val="00691B8D"/>
    <w:rsid w:val="007B7B6B"/>
    <w:rsid w:val="008C1E7A"/>
    <w:rsid w:val="008D3387"/>
    <w:rsid w:val="00955027"/>
    <w:rsid w:val="00A43184"/>
    <w:rsid w:val="00AC5A3A"/>
    <w:rsid w:val="00AE2E2F"/>
    <w:rsid w:val="00BA3A5B"/>
    <w:rsid w:val="00C159B9"/>
    <w:rsid w:val="00CF4C8D"/>
    <w:rsid w:val="00D0027A"/>
    <w:rsid w:val="00D36B58"/>
    <w:rsid w:val="00D95965"/>
    <w:rsid w:val="00DC7D12"/>
    <w:rsid w:val="00E766BE"/>
    <w:rsid w:val="00EC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A22B"/>
  <w15:chartTrackingRefBased/>
  <w15:docId w15:val="{404B4A68-1221-45DB-A5B3-3D7BA600F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E766B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766B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766B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766BE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766BE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E766B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joelarkman.shinyapps.io/PowerTool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1D838-35D5-4149-BA2F-D69C86BC7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1292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Roth Cardoso</dc:creator>
  <cp:keywords/>
  <dc:description/>
  <cp:lastModifiedBy>Animesh Acharjee</cp:lastModifiedBy>
  <cp:revision>16</cp:revision>
  <dcterms:created xsi:type="dcterms:W3CDTF">2020-01-31T12:47:00Z</dcterms:created>
  <dcterms:modified xsi:type="dcterms:W3CDTF">2020-02-10T18:02:00Z</dcterms:modified>
</cp:coreProperties>
</file>